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9A40" w14:textId="77777777" w:rsidR="00F87B16" w:rsidRPr="00A839D4" w:rsidRDefault="00F87B16" w:rsidP="00F87B16">
      <w:pPr>
        <w:pStyle w:val="Odsekzoznamu"/>
        <w:spacing w:after="0" w:line="240" w:lineRule="auto"/>
        <w:contextualSpacing w:val="0"/>
        <w:jc w:val="center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Príloha č. 1 – Popis predmetu Zmluvy</w:t>
      </w:r>
    </w:p>
    <w:p w14:paraId="2A335F58" w14:textId="77777777" w:rsidR="00F87B16" w:rsidRPr="00A839D4" w:rsidRDefault="00F87B16" w:rsidP="00F87B16">
      <w:pPr>
        <w:spacing w:after="0" w:line="240" w:lineRule="auto"/>
        <w:jc w:val="center"/>
        <w:rPr>
          <w:rFonts w:ascii="Inter" w:hAnsi="Inter"/>
          <w:b/>
          <w:bCs/>
          <w:u w:val="single"/>
        </w:rPr>
      </w:pPr>
      <w:r w:rsidRPr="00A839D4">
        <w:rPr>
          <w:rFonts w:ascii="Inter" w:hAnsi="Inter"/>
          <w:b/>
          <w:bCs/>
          <w:u w:val="single"/>
        </w:rPr>
        <w:t>ÚHRADA KRÁTKODOBÉHO PARKOVANIA PROSTREDNÍCTVOM SIETE AFFILIATE PARTNEROV</w:t>
      </w:r>
    </w:p>
    <w:p w14:paraId="0FDD817F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</w:rPr>
      </w:pPr>
    </w:p>
    <w:p w14:paraId="3FBDA666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  <w:u w:val="single"/>
        </w:rPr>
      </w:pPr>
      <w:r w:rsidRPr="00A839D4">
        <w:rPr>
          <w:rFonts w:ascii="Inter" w:hAnsi="Inter"/>
          <w:u w:val="single"/>
        </w:rPr>
        <w:t>Stručný popis:</w:t>
      </w:r>
    </w:p>
    <w:p w14:paraId="69A578E9" w14:textId="77777777" w:rsidR="00F87B16" w:rsidRPr="00A839D4" w:rsidRDefault="00F87B16" w:rsidP="00416065">
      <w:p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 xml:space="preserve">Cieľom vybudovania predajnej siete externých partnerov je umožniť úhradu aj iným spôsobom ako prostredníctvom mobilných parkovacích aplikácií (MPA) a parkovacích automatov za krátkodobé parkovanie vozidiel na miestnych cestách a priľahlých parkoviskách, v parkovacích zónach s plateným státím v intraviláne hlavného mesta Slovenskej republiky Bratislava (ďalej len </w:t>
      </w:r>
      <w:r>
        <w:rPr>
          <w:rFonts w:ascii="Inter" w:hAnsi="Inter"/>
        </w:rPr>
        <w:t>„</w:t>
      </w:r>
      <w:r w:rsidRPr="004B762D">
        <w:rPr>
          <w:rFonts w:ascii="Inter" w:hAnsi="Inter"/>
          <w:b/>
          <w:bCs/>
        </w:rPr>
        <w:t>Zóna</w:t>
      </w:r>
      <w:r w:rsidRPr="00A839D4">
        <w:rPr>
          <w:rFonts w:ascii="Inter" w:hAnsi="Inter"/>
        </w:rPr>
        <w:t xml:space="preserve">“). </w:t>
      </w:r>
    </w:p>
    <w:p w14:paraId="53E034D8" w14:textId="77777777" w:rsidR="00F87B16" w:rsidRDefault="00F87B16" w:rsidP="00F87B16">
      <w:pPr>
        <w:spacing w:after="0" w:line="240" w:lineRule="auto"/>
        <w:ind w:firstLine="708"/>
        <w:jc w:val="both"/>
        <w:rPr>
          <w:rFonts w:ascii="Inter" w:hAnsi="Inter"/>
        </w:rPr>
      </w:pPr>
    </w:p>
    <w:p w14:paraId="0C1C6507" w14:textId="3E4E109D" w:rsidR="00F87B16" w:rsidRDefault="00F87B16" w:rsidP="00416065">
      <w:p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 xml:space="preserve">Verejný obstarávateľ </w:t>
      </w:r>
      <w:r>
        <w:rPr>
          <w:rFonts w:ascii="Inter" w:hAnsi="Inter"/>
        </w:rPr>
        <w:t>h</w:t>
      </w:r>
      <w:r w:rsidRPr="00A839D4">
        <w:rPr>
          <w:rFonts w:ascii="Inter" w:hAnsi="Inter"/>
        </w:rPr>
        <w:t xml:space="preserve">lavné </w:t>
      </w:r>
      <w:r>
        <w:rPr>
          <w:rFonts w:ascii="Inter" w:hAnsi="Inter"/>
        </w:rPr>
        <w:t>m</w:t>
      </w:r>
      <w:r w:rsidRPr="00A839D4">
        <w:rPr>
          <w:rFonts w:ascii="Inter" w:hAnsi="Inter"/>
        </w:rPr>
        <w:t xml:space="preserve">esto </w:t>
      </w:r>
      <w:r>
        <w:rPr>
          <w:rFonts w:ascii="Inter" w:hAnsi="Inter"/>
        </w:rPr>
        <w:t xml:space="preserve">Slovenskej republiky </w:t>
      </w:r>
      <w:r w:rsidRPr="00A839D4">
        <w:rPr>
          <w:rFonts w:ascii="Inter" w:hAnsi="Inter"/>
        </w:rPr>
        <w:t>Bratislava (ďalej len „</w:t>
      </w:r>
      <w:r w:rsidRPr="00F87B16">
        <w:rPr>
          <w:rFonts w:ascii="Inter" w:hAnsi="Inter"/>
          <w:b/>
          <w:bCs/>
        </w:rPr>
        <w:t>Poskytovateľ</w:t>
      </w:r>
      <w:r w:rsidRPr="00A839D4">
        <w:rPr>
          <w:rFonts w:ascii="Inter" w:hAnsi="Inter"/>
        </w:rPr>
        <w:t>“) má záujem uzavrieť zmluvy o spolupráci s dobou trvania na dobu určitú s externými partnermi, ktorí majú vytvorenú sieť predajných bodov alebo jednotlivé prevádzky (ďalej len „</w:t>
      </w:r>
      <w:r w:rsidRPr="00F87B16">
        <w:rPr>
          <w:rFonts w:ascii="Inter" w:hAnsi="Inter"/>
          <w:b/>
          <w:bCs/>
        </w:rPr>
        <w:t>Partner</w:t>
      </w:r>
      <w:r w:rsidRPr="00A839D4">
        <w:rPr>
          <w:rFonts w:ascii="Inter" w:hAnsi="Inter"/>
        </w:rPr>
        <w:t>“) na území mesta Bratislava (v aktuálne regulovaných Zónach). Účelom je zapojiť existujúcu predajnú sieť/jednotlivé prevádzky do provízneho predaja krátkodobého parkovania a umožniť lepšiu dostupnosť čo najširšiemu okruhu užívateľov, ako aj</w:t>
      </w:r>
      <w:r w:rsidRPr="00A839D4">
        <w:rPr>
          <w:rFonts w:ascii="Inter" w:hAnsi="Inter" w:cs="Arial"/>
          <w:color w:val="000000"/>
        </w:rPr>
        <w:t xml:space="preserve"> zjednodušiť úhrady za dočasné parkovanie</w:t>
      </w:r>
      <w:r w:rsidRPr="00A839D4">
        <w:rPr>
          <w:rFonts w:ascii="Inter" w:hAnsi="Inter"/>
        </w:rPr>
        <w:t xml:space="preserve"> pomocou platobných Terminálov umiestnených v obchodných priestoroch Partnerov nachádzajúcich sa v regulovanej Zóne</w:t>
      </w:r>
      <w:r>
        <w:rPr>
          <w:rFonts w:ascii="Inter" w:hAnsi="Inter"/>
        </w:rPr>
        <w:t>.</w:t>
      </w:r>
    </w:p>
    <w:p w14:paraId="385C83FA" w14:textId="77777777" w:rsidR="00F87B16" w:rsidRPr="00A839D4" w:rsidRDefault="00F87B16" w:rsidP="00F87B16">
      <w:pPr>
        <w:spacing w:after="0" w:line="240" w:lineRule="auto"/>
        <w:ind w:firstLine="708"/>
        <w:jc w:val="both"/>
        <w:rPr>
          <w:rFonts w:ascii="Inter" w:hAnsi="Inter"/>
        </w:rPr>
      </w:pPr>
    </w:p>
    <w:p w14:paraId="503FDDC5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  <w:u w:val="single"/>
        </w:rPr>
      </w:pPr>
      <w:r w:rsidRPr="00A839D4">
        <w:rPr>
          <w:rFonts w:ascii="Inter" w:hAnsi="Inter"/>
          <w:u w:val="single"/>
        </w:rPr>
        <w:t>Procesy pred spustením predaja:</w:t>
      </w:r>
    </w:p>
    <w:p w14:paraId="3D2BA123" w14:textId="01FA33FE" w:rsidR="00F87B16" w:rsidRPr="00A839D4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Prihlásenie sa do Verejného návrhu:</w:t>
      </w:r>
    </w:p>
    <w:p w14:paraId="4DD19BFF" w14:textId="77777777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podpísanie zmluvy o spolupráci,</w:t>
      </w:r>
    </w:p>
    <w:p w14:paraId="7D5A6F22" w14:textId="77777777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dohodnutie umiestnenia banneru  na predajných bodoch.</w:t>
      </w:r>
    </w:p>
    <w:p w14:paraId="116661F7" w14:textId="37D316AF" w:rsidR="00F87B16" w:rsidRPr="00F87B16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F87B16">
        <w:rPr>
          <w:rFonts w:ascii="Inter" w:hAnsi="Inter"/>
          <w:b/>
          <w:bCs/>
        </w:rPr>
        <w:t xml:space="preserve">Vytvorené Partnerské konto v systéme </w:t>
      </w:r>
      <w:r w:rsidRPr="007A6D40">
        <w:rPr>
          <w:rFonts w:ascii="Inter" w:hAnsi="Inter"/>
          <w:b/>
          <w:bCs/>
        </w:rPr>
        <w:t>Papaya</w:t>
      </w:r>
      <w:r w:rsidRPr="00F87B16">
        <w:rPr>
          <w:rFonts w:ascii="Inter" w:hAnsi="Inter"/>
          <w:b/>
          <w:bCs/>
        </w:rPr>
        <w:t>:</w:t>
      </w:r>
      <w:r w:rsidRPr="00F87B16">
        <w:rPr>
          <w:rFonts w:ascii="Inter" w:hAnsi="Inter"/>
        </w:rPr>
        <w:t xml:space="preserve"> (vytvára Poskytovateľ)</w:t>
      </w:r>
    </w:p>
    <w:p w14:paraId="1FC908E4" w14:textId="77777777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</w:rPr>
        <w:t>v prípade predajnej siete sú vytvorené užívateľské účty pre jednotlivých predajcov (pre zmenovú prevádzku) a tieto sú zlúčené pod jeden hlavný účet za účelom spočítavanie úhrad za jednotlivé predajné body</w:t>
      </w:r>
      <w:r w:rsidRPr="00A839D4">
        <w:rPr>
          <w:rFonts w:ascii="Inter" w:hAnsi="Inter"/>
          <w:b/>
          <w:bCs/>
        </w:rPr>
        <w:t>.</w:t>
      </w:r>
    </w:p>
    <w:p w14:paraId="21973E95" w14:textId="77777777" w:rsidR="00F87B16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Nastavenie reportov:</w:t>
      </w:r>
    </w:p>
    <w:p w14:paraId="7E66C33A" w14:textId="0035E2A6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Inter" w:hAnsi="Inter"/>
          <w:b/>
          <w:bCs/>
        </w:rPr>
      </w:pPr>
      <w:r>
        <w:rPr>
          <w:rFonts w:ascii="Inter" w:hAnsi="Inter"/>
        </w:rPr>
        <w:t>P</w:t>
      </w:r>
      <w:r w:rsidRPr="00A839D4">
        <w:rPr>
          <w:rFonts w:ascii="Inter" w:hAnsi="Inter"/>
        </w:rPr>
        <w:t>oskytovateľ nastaví pravidelné odosielanie reportov o predajoch na Partnerom zadefinované email adresy na dennej báze.</w:t>
      </w:r>
    </w:p>
    <w:p w14:paraId="475C954F" w14:textId="0116E5B7" w:rsidR="00F87B16" w:rsidRPr="00A839D4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Označenie predajných bodov Partnera:</w:t>
      </w:r>
    </w:p>
    <w:p w14:paraId="45D8E0AC" w14:textId="77777777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dodanie bannerov, marketingového označenia,</w:t>
      </w:r>
    </w:p>
    <w:p w14:paraId="2C3012AF" w14:textId="77777777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odovzdanie terminálov (na každý predajný bod 1ks terminálu),</w:t>
      </w:r>
    </w:p>
    <w:p w14:paraId="4B498224" w14:textId="77777777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zaškolenie personálu Partnera na prácu s terminálom.</w:t>
      </w:r>
    </w:p>
    <w:p w14:paraId="6A3C3EDF" w14:textId="77777777" w:rsidR="00F87B16" w:rsidRPr="00F87B16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Externá predajná sieť na webe mesta</w:t>
      </w:r>
      <w:r w:rsidRPr="00A839D4">
        <w:rPr>
          <w:rFonts w:ascii="Inter" w:hAnsi="Inter"/>
        </w:rPr>
        <w:t>:</w:t>
      </w:r>
    </w:p>
    <w:p w14:paraId="5E126C41" w14:textId="6BC4CFDE" w:rsidR="00F87B16" w:rsidRPr="00A839D4" w:rsidRDefault="00F87B16" w:rsidP="00F87B16">
      <w:pPr>
        <w:pStyle w:val="Odsekzoznamu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</w:rPr>
        <w:t>umiestnenie kontaktných informácií o dostupnej Partnerskej predajnej sieti na našom webe</w:t>
      </w:r>
      <w:r w:rsidRPr="00A839D4">
        <w:rPr>
          <w:rFonts w:ascii="Inter" w:hAnsi="Inter"/>
          <w:b/>
          <w:bCs/>
        </w:rPr>
        <w:t>.</w:t>
      </w:r>
    </w:p>
    <w:p w14:paraId="2D8EB889" w14:textId="77777777" w:rsidR="00416065" w:rsidRPr="00416065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Evidencia zmluvy s Partnerom</w:t>
      </w:r>
      <w:r w:rsidRPr="00A839D4">
        <w:rPr>
          <w:rFonts w:ascii="Inter" w:hAnsi="Inter"/>
        </w:rPr>
        <w:t>:</w:t>
      </w:r>
    </w:p>
    <w:p w14:paraId="03CFD6E7" w14:textId="3D25FA36" w:rsidR="00F87B16" w:rsidRPr="00A839D4" w:rsidRDefault="00F87B16" w:rsidP="00416065">
      <w:pPr>
        <w:pStyle w:val="Odsekzoznamu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</w:rPr>
        <w:t>nahratie podpísanej zmluvy o spolupráci s Partnerom do interného systému.</w:t>
      </w:r>
    </w:p>
    <w:p w14:paraId="577414DD" w14:textId="77777777" w:rsidR="00F87B16" w:rsidRPr="00A839D4" w:rsidRDefault="00F87B16" w:rsidP="00F87B1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Inter" w:hAnsi="Inter"/>
          <w:b/>
          <w:bCs/>
        </w:rPr>
      </w:pPr>
      <w:r w:rsidRPr="00A839D4">
        <w:rPr>
          <w:rFonts w:ascii="Inter" w:hAnsi="Inter"/>
          <w:b/>
          <w:bCs/>
        </w:rPr>
        <w:t>Spustenie predaja</w:t>
      </w:r>
    </w:p>
    <w:p w14:paraId="1B513DED" w14:textId="1C19B37E" w:rsidR="00F87B16" w:rsidRPr="00A839D4" w:rsidRDefault="00F87B16" w:rsidP="00F87B16">
      <w:pPr>
        <w:pStyle w:val="Odsekzoznamu"/>
        <w:spacing w:after="0" w:line="240" w:lineRule="auto"/>
        <w:jc w:val="both"/>
        <w:rPr>
          <w:rFonts w:ascii="Inter" w:hAnsi="Inter"/>
        </w:rPr>
      </w:pPr>
    </w:p>
    <w:p w14:paraId="16C16632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  <w:u w:val="single"/>
        </w:rPr>
      </w:pPr>
      <w:r w:rsidRPr="00A839D4">
        <w:rPr>
          <w:rFonts w:ascii="Inter" w:hAnsi="Inter"/>
          <w:u w:val="single"/>
        </w:rPr>
        <w:t>Popis procesu:</w:t>
      </w:r>
    </w:p>
    <w:p w14:paraId="147A4F61" w14:textId="77777777" w:rsidR="00F87B16" w:rsidRPr="00A839D4" w:rsidRDefault="00F87B16" w:rsidP="00416065">
      <w:p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 xml:space="preserve">Pre úspešné fungovanie predaja musí Partner spĺňať nasledovné podmienky na konkrétnom predajnom bode: </w:t>
      </w:r>
    </w:p>
    <w:p w14:paraId="3343ED18" w14:textId="77777777" w:rsidR="00F87B16" w:rsidRDefault="00F87B16" w:rsidP="00F87B1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>prístup na internetovú sieť prípadne dodaný terminál so SIM kartou (dodá Poskytovateľ).</w:t>
      </w:r>
    </w:p>
    <w:p w14:paraId="4FEB75AE" w14:textId="77777777" w:rsidR="00F87B16" w:rsidRPr="007C055E" w:rsidRDefault="00F87B16" w:rsidP="00F87B16">
      <w:pPr>
        <w:pStyle w:val="Odsekzoznamu"/>
        <w:spacing w:after="0" w:line="240" w:lineRule="auto"/>
        <w:jc w:val="both"/>
        <w:rPr>
          <w:rFonts w:ascii="Inter" w:hAnsi="Inter"/>
        </w:rPr>
      </w:pPr>
    </w:p>
    <w:p w14:paraId="170E6463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  <w:u w:val="single"/>
        </w:rPr>
      </w:pPr>
      <w:r w:rsidRPr="00A839D4">
        <w:rPr>
          <w:rFonts w:ascii="Inter" w:hAnsi="Inter"/>
          <w:u w:val="single"/>
        </w:rPr>
        <w:t>Proces úhrady:</w:t>
      </w:r>
    </w:p>
    <w:p w14:paraId="1E2DEB14" w14:textId="194430F5" w:rsidR="00F87B16" w:rsidRDefault="00F87B16" w:rsidP="00416065">
      <w:p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 xml:space="preserve">Ak navštívi predajný bod Partnera záujemca o krátkodobé parkovanie/predĺženie času parkovania, nadiktuje Partnerovi EČV parkujúceho vozidla, číslo Zóny a čas, koľko </w:t>
      </w:r>
      <w:r w:rsidRPr="00A839D4">
        <w:rPr>
          <w:rFonts w:ascii="Inter" w:hAnsi="Inter"/>
        </w:rPr>
        <w:lastRenderedPageBreak/>
        <w:t>plánuje parkovať. Partner sa pripojí na mestský parkovací systém ParkSys prostredníctvom prideleného terminálu (papaya terminál), kde navolí požadované údaje pre správne parkovanie. Odoslaním údajov prebehne overenie a výpočet výšky úhrady za parkovné podľa navolených parametrov. Obratom terminál obdrží odpoveď s cenou za parkovanie podľa zadaných údajov záujemcu. Ak záujemca súhlasí s cenou za parkovné, Partner potvrdí výšku úhrady na termináli a zobrazí sa výzva k úhrade hotovosťou/kartou. V prípade zvolenia spôsobu úhrady hotovosťou, platí záujemca požadovanú výšku bankovkami/mincami Partnerovi a tento ukladá úhradu do kasy. V prípade zvolenia spôsobu úhrady bezhotovostnou formou, platí záujemca požadovanú výšku platobnou kartou alebo iným podporovaným bezhotovostným spôsobom Partnerovi a platba prostredníctvom integrovanej platobnej brány v termináli je smerovaná na účet HMBA. Po prijatí platby vystavuje Partner z terminálu doklad pre záujemcu.</w:t>
      </w:r>
    </w:p>
    <w:p w14:paraId="62A0322F" w14:textId="77777777" w:rsidR="00F87B16" w:rsidRPr="00A839D4" w:rsidRDefault="00F87B16" w:rsidP="0031202A">
      <w:pPr>
        <w:spacing w:after="0" w:line="240" w:lineRule="auto"/>
        <w:jc w:val="both"/>
        <w:rPr>
          <w:rFonts w:ascii="Inter" w:hAnsi="Inter"/>
        </w:rPr>
      </w:pPr>
    </w:p>
    <w:p w14:paraId="36B21FB3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  <w:u w:val="single"/>
        </w:rPr>
      </w:pPr>
      <w:r w:rsidRPr="00A839D4">
        <w:rPr>
          <w:rFonts w:ascii="Inter" w:hAnsi="Inter"/>
          <w:u w:val="single"/>
        </w:rPr>
        <w:t>Provízny systém:</w:t>
      </w:r>
    </w:p>
    <w:p w14:paraId="6A76DBB5" w14:textId="370AF2EF" w:rsidR="00F87B16" w:rsidRDefault="00F87B16" w:rsidP="0031202A">
      <w:p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 xml:space="preserve">Partnerské konto eviduje všetky realizované predaje krátkodobého parkovania za konkrétny časový úsek (kalendárny mesiac). V prípade, že sa jedná o Partnera s vybudovanou vlastnou sieťou predajných bodov, využíva sa jeden prístup do Partnerského konta pre všetky zapojené prevádzky Partnera na území mesta Bratislava a všetky predaje sa sčítavajú. Je možné rozlišovať jednotlivé prevádzky v sieti jedného Partnera pre účely sledovania predajov za jednotlivé prevádzky zo strany Partnera. Tržby utŕžené za predaj krátkodobého parkovania v hotovosti sú na účte Partnera. Po ukončení mesiaca (najneskôr do 5 dní) prevádzajú Partneri finančné prostriedky za zrealizované predaje krátkodobého parkovania na </w:t>
      </w:r>
      <w:r w:rsidR="0091612B">
        <w:rPr>
          <w:rFonts w:ascii="Inter" w:hAnsi="Inter"/>
        </w:rPr>
        <w:t xml:space="preserve">bankový </w:t>
      </w:r>
      <w:r w:rsidRPr="00A839D4">
        <w:rPr>
          <w:rFonts w:ascii="Inter" w:hAnsi="Inter"/>
        </w:rPr>
        <w:t xml:space="preserve">účet </w:t>
      </w:r>
      <w:r w:rsidR="0091612B">
        <w:rPr>
          <w:rFonts w:ascii="Inter" w:hAnsi="Inter"/>
        </w:rPr>
        <w:t>Poskytovateľa</w:t>
      </w:r>
      <w:r w:rsidRPr="00A839D4">
        <w:rPr>
          <w:rFonts w:ascii="Inter" w:hAnsi="Inter"/>
        </w:rPr>
        <w:t xml:space="preserve"> (</w:t>
      </w:r>
      <w:r w:rsidR="0091612B">
        <w:rPr>
          <w:rFonts w:ascii="Inter" w:hAnsi="Inter"/>
        </w:rPr>
        <w:t xml:space="preserve">finančné </w:t>
      </w:r>
      <w:r w:rsidRPr="00A839D4">
        <w:rPr>
          <w:rFonts w:ascii="Inter" w:hAnsi="Inter"/>
        </w:rPr>
        <w:t xml:space="preserve">prostriedky sú majetkom </w:t>
      </w:r>
      <w:r w:rsidR="0091612B">
        <w:rPr>
          <w:rFonts w:ascii="Inter" w:hAnsi="Inter"/>
        </w:rPr>
        <w:t>Poskytovateľa</w:t>
      </w:r>
      <w:r w:rsidRPr="00A839D4">
        <w:rPr>
          <w:rFonts w:ascii="Inter" w:hAnsi="Inter"/>
        </w:rPr>
        <w:t>). Následne Partner na základe údajov zo systému ParkSys/Papaya vystavuje faktúru Poskytovateľovi vo výške provízie z realizovaných predajov za ukončený kalendárny mesiac. Výška provízie Partnerom je 9</w:t>
      </w:r>
      <w:r w:rsidR="0091612B">
        <w:rPr>
          <w:rFonts w:ascii="Inter" w:hAnsi="Inter"/>
        </w:rPr>
        <w:t xml:space="preserve"> </w:t>
      </w:r>
      <w:r w:rsidRPr="00A839D4">
        <w:rPr>
          <w:rFonts w:ascii="Inter" w:hAnsi="Inter"/>
        </w:rPr>
        <w:t xml:space="preserve">% </w:t>
      </w:r>
      <w:r w:rsidR="0091612B">
        <w:rPr>
          <w:rFonts w:ascii="Inter" w:hAnsi="Inter"/>
        </w:rPr>
        <w:t xml:space="preserve">(slovom: deväť percent) </w:t>
      </w:r>
      <w:r w:rsidRPr="00A839D4">
        <w:rPr>
          <w:rFonts w:ascii="Inter" w:hAnsi="Inter"/>
        </w:rPr>
        <w:t>z </w:t>
      </w:r>
      <w:r w:rsidR="0091612B" w:rsidRPr="00A839D4">
        <w:rPr>
          <w:rFonts w:ascii="Inter" w:hAnsi="Inter"/>
        </w:rPr>
        <w:t>realizovaných predajov za ukončený kalendárny mesiac</w:t>
      </w:r>
      <w:r w:rsidRPr="00A839D4">
        <w:rPr>
          <w:rFonts w:ascii="Inter" w:hAnsi="Inter"/>
        </w:rPr>
        <w:t xml:space="preserve">. Splatnosť faktúr je 30 </w:t>
      </w:r>
      <w:r w:rsidR="005C0220">
        <w:rPr>
          <w:rFonts w:ascii="Inter" w:hAnsi="Inter"/>
        </w:rPr>
        <w:t xml:space="preserve">(slovom: tridsať) </w:t>
      </w:r>
      <w:r w:rsidRPr="00A839D4">
        <w:rPr>
          <w:rFonts w:ascii="Inter" w:hAnsi="Inter"/>
        </w:rPr>
        <w:t>dní.</w:t>
      </w:r>
    </w:p>
    <w:p w14:paraId="6CD7AC1B" w14:textId="77777777" w:rsidR="00F87B16" w:rsidRPr="00A839D4" w:rsidRDefault="00F87B16" w:rsidP="00F87B16">
      <w:pPr>
        <w:spacing w:after="0" w:line="240" w:lineRule="auto"/>
        <w:ind w:firstLine="708"/>
        <w:jc w:val="both"/>
        <w:rPr>
          <w:rFonts w:ascii="Inter" w:hAnsi="Inter"/>
        </w:rPr>
      </w:pPr>
    </w:p>
    <w:p w14:paraId="28F28398" w14:textId="77777777" w:rsidR="00F87B16" w:rsidRPr="00A839D4" w:rsidRDefault="00F87B16" w:rsidP="00F87B16">
      <w:pPr>
        <w:spacing w:after="0" w:line="240" w:lineRule="auto"/>
        <w:jc w:val="both"/>
        <w:rPr>
          <w:rFonts w:ascii="Inter" w:hAnsi="Inter"/>
          <w:u w:val="single"/>
        </w:rPr>
      </w:pPr>
      <w:r w:rsidRPr="00A839D4">
        <w:rPr>
          <w:rFonts w:ascii="Inter" w:hAnsi="Inter"/>
          <w:u w:val="single"/>
        </w:rPr>
        <w:t>Označovanie Partnerských predajných bodov:</w:t>
      </w:r>
    </w:p>
    <w:p w14:paraId="7AAF1463" w14:textId="77777777" w:rsidR="00F87B16" w:rsidRPr="00A839D4" w:rsidRDefault="00F87B16" w:rsidP="0091612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banner na vchode do predajného bodu Partnera,</w:t>
      </w:r>
    </w:p>
    <w:p w14:paraId="29AE26AF" w14:textId="77777777" w:rsidR="00F87B16" w:rsidRPr="00A839D4" w:rsidRDefault="00F87B16" w:rsidP="0091612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Inter" w:hAnsi="Inter"/>
        </w:rPr>
      </w:pPr>
      <w:r w:rsidRPr="00A839D4">
        <w:rPr>
          <w:rFonts w:ascii="Inter" w:hAnsi="Inter"/>
        </w:rPr>
        <w:t>informácie o predajných bodoch partnerov na mestskom webe (paas.sk).</w:t>
      </w:r>
    </w:p>
    <w:p w14:paraId="190EBFD9" w14:textId="721F46FC" w:rsidR="00F87B16" w:rsidRPr="00A839D4" w:rsidRDefault="00F87B16" w:rsidP="00F87B16">
      <w:pPr>
        <w:spacing w:after="0" w:line="240" w:lineRule="auto"/>
        <w:jc w:val="both"/>
        <w:rPr>
          <w:rFonts w:ascii="Inter" w:hAnsi="Inter"/>
        </w:rPr>
      </w:pPr>
      <w:r w:rsidRPr="00A839D4">
        <w:rPr>
          <w:rFonts w:ascii="Inter" w:hAnsi="Inter"/>
        </w:rPr>
        <w:t>Vizualizáciu a označenia dodá Poskytovateľ (na základe schváleného dizajn manuálu). Partner po dohode s Poskytovateľom zabezpečuje polep marketingových materiálov na svojich predajných bodoch.</w:t>
      </w:r>
    </w:p>
    <w:p w14:paraId="4FD3A456" w14:textId="77777777" w:rsidR="0096441C" w:rsidRDefault="0096441C" w:rsidP="00F87B16">
      <w:pPr>
        <w:spacing w:after="0" w:line="240" w:lineRule="auto"/>
        <w:jc w:val="both"/>
      </w:pPr>
    </w:p>
    <w:sectPr w:rsidR="0096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17D43"/>
    <w:multiLevelType w:val="hybridMultilevel"/>
    <w:tmpl w:val="9DB6B678"/>
    <w:lvl w:ilvl="0" w:tplc="8FFC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579D"/>
    <w:multiLevelType w:val="hybridMultilevel"/>
    <w:tmpl w:val="4BD6E01C"/>
    <w:lvl w:ilvl="0" w:tplc="9EB04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2139"/>
    <w:multiLevelType w:val="hybridMultilevel"/>
    <w:tmpl w:val="7BAE3EA4"/>
    <w:lvl w:ilvl="0" w:tplc="4F388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6FD3"/>
    <w:multiLevelType w:val="hybridMultilevel"/>
    <w:tmpl w:val="6658C93A"/>
    <w:lvl w:ilvl="0" w:tplc="68F85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3EB3"/>
    <w:multiLevelType w:val="hybridMultilevel"/>
    <w:tmpl w:val="12CC5816"/>
    <w:lvl w:ilvl="0" w:tplc="6AC22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2066">
    <w:abstractNumId w:val="4"/>
  </w:num>
  <w:num w:numId="2" w16cid:durableId="1131481447">
    <w:abstractNumId w:val="3"/>
  </w:num>
  <w:num w:numId="3" w16cid:durableId="1734044067">
    <w:abstractNumId w:val="2"/>
  </w:num>
  <w:num w:numId="4" w16cid:durableId="675958199">
    <w:abstractNumId w:val="0"/>
  </w:num>
  <w:num w:numId="5" w16cid:durableId="185946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16"/>
    <w:rsid w:val="000328C5"/>
    <w:rsid w:val="001328C9"/>
    <w:rsid w:val="0026766B"/>
    <w:rsid w:val="00296F6C"/>
    <w:rsid w:val="002971FD"/>
    <w:rsid w:val="0031202A"/>
    <w:rsid w:val="0036777B"/>
    <w:rsid w:val="003D7DCC"/>
    <w:rsid w:val="00416065"/>
    <w:rsid w:val="004A606C"/>
    <w:rsid w:val="00573D27"/>
    <w:rsid w:val="005B71C4"/>
    <w:rsid w:val="005C0220"/>
    <w:rsid w:val="00660F18"/>
    <w:rsid w:val="00707256"/>
    <w:rsid w:val="007A6D40"/>
    <w:rsid w:val="008B13CA"/>
    <w:rsid w:val="0091612B"/>
    <w:rsid w:val="0096441C"/>
    <w:rsid w:val="00A70E6C"/>
    <w:rsid w:val="00AD3EEE"/>
    <w:rsid w:val="00B13AE9"/>
    <w:rsid w:val="00C55D3B"/>
    <w:rsid w:val="00C7502D"/>
    <w:rsid w:val="00C86BE4"/>
    <w:rsid w:val="00D1218C"/>
    <w:rsid w:val="00D62368"/>
    <w:rsid w:val="00DF10C2"/>
    <w:rsid w:val="00F87B16"/>
    <w:rsid w:val="00FD6C5E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12E"/>
  <w15:chartTrackingRefBased/>
  <w15:docId w15:val="{64A40A50-4257-4964-9DA5-0B3CA622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7B16"/>
    <w:rPr>
      <w:rFonts w:eastAsiaTheme="minorHAns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7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7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7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7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7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7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,Odrážky,Odstavec se seznamem1,Odsek zoznamu2,Bullet Number,lp1,lp11,List Paragraph11,Use Case List Paragraph,Odsek a)"/>
    <w:basedOn w:val="Normlny"/>
    <w:link w:val="OdsekzoznamuChar"/>
    <w:uiPriority w:val="34"/>
    <w:qFormat/>
    <w:rsid w:val="00C7502D"/>
    <w:pPr>
      <w:contextualSpacing/>
    </w:pPr>
  </w:style>
  <w:style w:type="character" w:customStyle="1" w:styleId="OdsekzoznamuChar">
    <w:name w:val="Odsek zoznamu Char"/>
    <w:aliases w:val="Odsek Char,body Char,Farebný zoznam – zvýraznenie 11 Char,Odrážky Char,Odstavec se seznamem1 Char,Odsek zoznamu2 Char,Bullet Number Char,lp1 Char,lp11 Char,List Paragraph11 Char,Use Case List Paragraph Char,Odsek a) Char"/>
    <w:basedOn w:val="Predvolenpsmoodseku"/>
    <w:link w:val="Odsekzoznamu"/>
    <w:uiPriority w:val="34"/>
    <w:qFormat/>
    <w:locked/>
    <w:rsid w:val="00C7502D"/>
    <w:rPr>
      <w:rFonts w:ascii="Inter" w:hAnsi="Inter"/>
      <w:kern w:val="0"/>
      <w:sz w:val="21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87B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7B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7B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7B16"/>
    <w:rPr>
      <w:rFonts w:eastAsiaTheme="majorEastAsia" w:cstheme="majorBidi"/>
      <w:i/>
      <w:iCs/>
      <w:color w:val="0F4761" w:themeColor="accent1" w:themeShade="BF"/>
      <w:kern w:val="0"/>
      <w:sz w:val="2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7B16"/>
    <w:rPr>
      <w:rFonts w:eastAsiaTheme="majorEastAsia" w:cstheme="majorBidi"/>
      <w:color w:val="0F4761" w:themeColor="accent1" w:themeShade="BF"/>
      <w:kern w:val="0"/>
      <w:sz w:val="21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7B16"/>
    <w:rPr>
      <w:rFonts w:eastAsiaTheme="majorEastAsia" w:cstheme="majorBidi"/>
      <w:i/>
      <w:iCs/>
      <w:color w:val="595959" w:themeColor="text1" w:themeTint="A6"/>
      <w:kern w:val="0"/>
      <w:sz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7B16"/>
    <w:rPr>
      <w:rFonts w:eastAsiaTheme="majorEastAsia" w:cstheme="majorBidi"/>
      <w:color w:val="595959" w:themeColor="text1" w:themeTint="A6"/>
      <w:kern w:val="0"/>
      <w:sz w:val="21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7B16"/>
    <w:rPr>
      <w:rFonts w:eastAsiaTheme="majorEastAsia" w:cstheme="majorBidi"/>
      <w:i/>
      <w:iCs/>
      <w:color w:val="272727" w:themeColor="text1" w:themeTint="D8"/>
      <w:kern w:val="0"/>
      <w:sz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7B16"/>
    <w:rPr>
      <w:rFonts w:eastAsiaTheme="majorEastAsia" w:cstheme="majorBidi"/>
      <w:color w:val="272727" w:themeColor="text1" w:themeTint="D8"/>
      <w:kern w:val="0"/>
      <w:sz w:val="21"/>
    </w:rPr>
  </w:style>
  <w:style w:type="paragraph" w:styleId="Nzov">
    <w:name w:val="Title"/>
    <w:basedOn w:val="Normlny"/>
    <w:next w:val="Normlny"/>
    <w:link w:val="NzovChar"/>
    <w:uiPriority w:val="10"/>
    <w:qFormat/>
    <w:rsid w:val="00F87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7B1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7B16"/>
    <w:rPr>
      <w:rFonts w:ascii="Inter" w:hAnsi="Inter" w:cs="Times New Roman"/>
      <w:i/>
      <w:iCs/>
      <w:color w:val="404040" w:themeColor="text1" w:themeTint="BF"/>
      <w:kern w:val="0"/>
      <w:sz w:val="21"/>
    </w:rPr>
  </w:style>
  <w:style w:type="character" w:styleId="Intenzvnezvraznenie">
    <w:name w:val="Intense Emphasis"/>
    <w:basedOn w:val="Predvolenpsmoodseku"/>
    <w:uiPriority w:val="21"/>
    <w:qFormat/>
    <w:rsid w:val="00F87B1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7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7B16"/>
    <w:rPr>
      <w:rFonts w:ascii="Inter" w:hAnsi="Inter" w:cs="Times New Roman"/>
      <w:i/>
      <w:iCs/>
      <w:color w:val="0F4761" w:themeColor="accent1" w:themeShade="BF"/>
      <w:kern w:val="0"/>
      <w:sz w:val="21"/>
    </w:rPr>
  </w:style>
  <w:style w:type="character" w:styleId="Zvraznenodkaz">
    <w:name w:val="Intense Reference"/>
    <w:basedOn w:val="Predvolenpsmoodseku"/>
    <w:uiPriority w:val="32"/>
    <w:qFormat/>
    <w:rsid w:val="00F87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23f597f0-998d-4963-87e4-16d27cab1df3">false</MainDocument>
    <lcf76f155ced4ddcb4097134ff3c332f xmlns="23f597f0-998d-4963-87e4-16d27cab1df3">
      <Terms xmlns="http://schemas.microsoft.com/office/infopath/2007/PartnerControls"/>
    </lcf76f155ced4ddcb4097134ff3c332f>
    <TaxCatchAll xmlns="aa68cacb-408c-45ea-a1c5-82bc04c62a9c" xsi:nil="true"/>
    <LinkToItem xmlns="23f597f0-998d-4963-87e4-16d27cab1df3">https://magistratba.sharepoint.com/sites/zmluvy/Files/4321</LinkToItem>
    <ZmluvyId xmlns="23f597f0-998d-4963-87e4-16d27cab1df3">4321</Zmluvy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629185A9DE4189E14CB440873855" ma:contentTypeVersion="17" ma:contentTypeDescription="Umožňuje vytvoriť nový dokument." ma:contentTypeScope="" ma:versionID="ddd5dc0c63d53ec947bf7e80a712d2f8">
  <xsd:schema xmlns:xsd="http://www.w3.org/2001/XMLSchema" xmlns:xs="http://www.w3.org/2001/XMLSchema" xmlns:p="http://schemas.microsoft.com/office/2006/metadata/properties" xmlns:ns2="23f597f0-998d-4963-87e4-16d27cab1df3" xmlns:ns3="aa68cacb-408c-45ea-a1c5-82bc04c62a9c" targetNamespace="http://schemas.microsoft.com/office/2006/metadata/properties" ma:root="true" ma:fieldsID="ff09cb24d301cba8d9c62f0170a7ebfe" ns2:_="" ns3:_="">
    <xsd:import namespace="23f597f0-998d-4963-87e4-16d27cab1df3"/>
    <xsd:import namespace="aa68cacb-408c-45ea-a1c5-82bc04c62a9c"/>
    <xsd:element name="properties">
      <xsd:complexType>
        <xsd:sequence>
          <xsd:element name="documentManagement">
            <xsd:complexType>
              <xsd:all>
                <xsd:element ref="ns2:MainDocument" minOccurs="0"/>
                <xsd:element ref="ns2:ZmluvyId" minOccurs="0"/>
                <xsd:element ref="ns2:LinkToIte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97f0-998d-4963-87e4-16d27cab1df3" elementFormDefault="qualified">
    <xsd:import namespace="http://schemas.microsoft.com/office/2006/documentManagement/types"/>
    <xsd:import namespace="http://schemas.microsoft.com/office/infopath/2007/PartnerControls"/>
    <xsd:element name="MainDocument" ma:index="8" nillable="true" ma:displayName="MainDocument" ma:default="0" ma:indexed="true" ma:internalName="MainDocument">
      <xsd:simpleType>
        <xsd:restriction base="dms:Boolean"/>
      </xsd:simpleType>
    </xsd:element>
    <xsd:element name="ZmluvyId" ma:index="9" nillable="true" ma:displayName="ZmluvyId" ma:indexed="true" ma:internalName="ZmluvyId">
      <xsd:simpleType>
        <xsd:restriction base="dms:Number"/>
      </xsd:simpleType>
    </xsd:element>
    <xsd:element name="LinkToItem" ma:index="10" nillable="true" ma:displayName="LinkToItem" ma:internalName="LinkToItem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cacb-408c-45ea-a1c5-82bc04c62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5cdfa0-5ec6-4f66-94d1-b08c617351fc}" ma:internalName="TaxCatchAll" ma:showField="CatchAllData" ma:web="aa68cacb-408c-45ea-a1c5-82bc04c62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2C16C-2710-4CB9-BDC0-9CDA7D994027}">
  <ds:schemaRefs>
    <ds:schemaRef ds:uri="http://www.w3.org/XML/1998/namespace"/>
    <ds:schemaRef ds:uri="http://purl.org/dc/elements/1.1/"/>
    <ds:schemaRef ds:uri="aa68cacb-408c-45ea-a1c5-82bc04c62a9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3f597f0-998d-4963-87e4-16d27cab1df3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3D648A-E551-4C8C-9866-29BDE3B75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0FA47-B03E-444D-A2AB-4439130D9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97f0-998d-4963-87e4-16d27cab1df3"/>
    <ds:schemaRef ds:uri="aa68cacb-408c-45ea-a1c5-82bc04c6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Priloha_1_ZoS_2025_draft_RK.docx</dc:title>
  <dc:subject/>
  <dc:creator>Kopil Roman, JUDr.</dc:creator>
  <cp:keywords/>
  <dc:description/>
  <cp:lastModifiedBy>Gerčák Martin, Ing.</cp:lastModifiedBy>
  <cp:revision>2</cp:revision>
  <dcterms:created xsi:type="dcterms:W3CDTF">2025-11-14T14:00:00Z</dcterms:created>
  <dcterms:modified xsi:type="dcterms:W3CDTF">2025-11-14T14:00:00Z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0x010100C649629185A9DE4189E14CB440873855</vt:lpwstr>
  </property>
  <property fmtid="{D5CDD505-2E9C-101B-9397-08002B2CF9AE}" pid="3" name="_ExtendedDescription">
    <vt:lpwstr>Uploaded by the system</vt:lpwstr>
  </property>
</Properties>
</file>